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1a3dd09158a427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42240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REHABILITACIJU FORTICA KRALJEVICA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1.210.110,55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1.305.725,49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1.135.471,30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1.252.157,34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74.639,25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53.568,15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1.703.908,77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17.521,76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1.768.248,07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36.046,39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w:t>
            </w:r>
          </w:p>
        </w:tc>
      </w:tr>
    </w:tbl>
    <w:p>
      <w:pPr>
        <w:spacing w:before="0" w:after="0"/>
      </w:pPr>
    </w:p>
    <w:p>
      <w:r>
        <w:t xml:space="preserve">U razdoblju 01.01.-31.12.2025.godine prihodi poslovanja ostvareni su u iznosu od 1.305.725,49 eur. Najznačajnije povećanje prihoda poslovanja ostvareno je iz nadležnog županijskog proračuna za sufinanciranje djelatnosti. Najznačajnije smanjenje prihoda bilježi se na ostalim nespomenutim prihodima zbog manje ostvarenih prihoda po osnovi mirovina korisnika i prihoda od refundacije šteta od strane osiguravajućeg društva.</w:t>
      </w:r>
    </w:p>
    <w:p>
      <w:r>
        <w:t xml:space="preserve">Rashodi poslovanja u razdoblju 01.01.-31.12.2025.godine ostvareni su u iznosu od 1.252.157,34 eur. Najznačajnije povećanje rashoda je na materijalnim rashodima i to unutar rashoda za usluge zbog izvršenih ulaganja u tekuće i investicijsko održavanje objekta.</w:t>
      </w:r>
    </w:p>
    <w:p>
      <w:r>
        <w:t xml:space="preserve">U navedenom razdoblju nema ostvarenih prihoda od prodaje nefinancijske imovine, a rashodi za nabavu nefinancijske imovine iznose 17.521,76 eur. Rashodi se odnose na nabavljenu računalnu opremu i namještaj te primljeni namještaj, televizore, medicinsku opremu, uređaje i računalnu opremu iz donacije.</w:t>
      </w:r>
    </w:p>
    <w:p>
      <w:r>
        <w:t xml:space="preserve">U razdoblju 01.01.-31.12.2025. godine ostvaren je višak prihoda poslovanja u iznosu od 53.568,15 eur, manjak prihoda od nefinancijske imovine od 17.521,76 eur, slijedom čega je na kraju izvještajnog razdoblja ostvareni višak prihoda u iznosu od 36.046,39 eur.</w:t>
      </w:r>
    </w:p>
    <w:p>
      <w:r>
        <w:t xml:space="preserve">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2288,1</w:t>
            </w:r>
          </w:p>
        </w:tc>
      </w:tr>
    </w:tbl>
    <w:p>
      <w:pPr>
        <w:spacing w:before="0" w:after="0"/>
      </w:pPr>
    </w:p>
    <w:p>
      <w:r>
        <w:t xml:space="preserve">Kamate na oročena sredstva i depozite po viđenju bilježe značajan porast zbog većeg iznosa novčanih sredstava na žiro računu ostvarenih od prodaje nekretnina u prethodnoj godini.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18.437,30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w:t>
            </w:r>
          </w:p>
        </w:tc>
      </w:tr>
    </w:tbl>
    <w:p>
      <w:pPr>
        <w:spacing w:before="0" w:after="0"/>
      </w:pPr>
    </w:p>
    <w:p>
      <w:r>
        <w:t xml:space="preserve">Ukupne primljene kapitalne donacije su veće nego prethodne godine za 94%. Iz donacije je dobiven namještaj (kutna sjedeća garnitura i polica), perilica posuđa, prijenosna kada, računalna oprema (monitor i kućište), motorna kosilica, lifter za korisnike, spremnici za kontejnere za otpad. Također, primljena je i novčana donacija namijenjena nabavi profesionalne perilice rublja.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504.671,79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590.546,98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Prihodi iz nadležnog proračuna za financiranje rashoda poslovanja značajno su porasli u odnosu na prethodnu godinu, jer su doznačena veća sredstva iz Proračuna Primorsko-goranske županije namijenjena sufinanciranju redovne djelatnosti Centra.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23.850,50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373,1</w:t>
            </w:r>
          </w:p>
        </w:tc>
      </w:tr>
    </w:tbl>
    <w:p>
      <w:pPr>
        <w:spacing w:before="0" w:after="0"/>
      </w:pPr>
    </w:p>
    <w:p>
      <w:r>
        <w:t xml:space="preserve">Plaće za prekovremeni rad značajno su veće nego 2024.godine zbog dugotrajnih bolovanja radnika i upražnjenih radnih mjesta u drugoj polovici godine čije popunjavanje je otežano uslijed deficitarnosti na tržištu rada (medicinske sestre, njegovateljice, kuhar).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43.217,72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Ostali rashodi za zaposlene su porasli za 21,2% zbog više isplaćenih naknada za bolovanje preko 90 dana i naknada za smrtni slučaj, jubilarnih nagrada te otpremnina u ovom izvještajnom razdoblju.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r>
        <w:t xml:space="preserve">Rashodi stručnog usavršavanja zaposlenika porasli su u odnosu na prethodnu godinu, a vezani su uz provedbu izobrazbe radnika za moderatore i procesne vođe u sklopu uvođenja modela upravljanja kvalitetom E-Qalin, pohađanje seminara radi praćenja aktualnosti u proračunskom poslovanju, održanih edukacijskih i supervizijskih susreta za radnike i slično.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261,1</w:t>
            </w:r>
          </w:p>
        </w:tc>
      </w:tr>
    </w:tbl>
    <w:p>
      <w:pPr>
        <w:spacing w:before="0" w:after="0"/>
      </w:pPr>
    </w:p>
    <w:p>
      <w:r>
        <w:t xml:space="preserve">Za potrebe održavanja objekta Centra izvršena je veća nabava materijala nego prethodne godine, što ovisi o potrebama koje se jave u toku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w:t>
            </w:r>
          </w:p>
        </w:tc>
      </w:tr>
    </w:tbl>
    <w:p>
      <w:pPr>
        <w:spacing w:before="0" w:after="0"/>
      </w:pPr>
    </w:p>
    <w:p>
      <w:r>
        <w:t xml:space="preserve">Stavka sitnog inventara i autoguma je veća u odnosu na isto razdoblje 2024.g. U ovoj godini nabavljene su trakaste zavjese, mobitel za medicinske sestre, posuđe za potrebe kuhinje (lonci, posude, zdjele, pribor za jelo), vatrogasni aparati, ručnici i jastučnice, auto gume za službeno vozilo, a iz donacije su primljeni suncobran, terapeutske mačke, kolica za posluživanje i uređaj za elektrostimulaciju mišića.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U razdoblju 01-12/2025 porasli su rashodi za usluge telefona, pošte i prijevoza zbog izvršene usluga prijevoza (odvoz krupnog otpada).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536,6</w:t>
            </w:r>
          </w:p>
        </w:tc>
      </w:tr>
    </w:tbl>
    <w:p>
      <w:pPr>
        <w:spacing w:before="0" w:after="0"/>
      </w:pPr>
    </w:p>
    <w:p>
      <w:r>
        <w:t xml:space="preserve">Rashodi za usluge tekućeg i investicijskog održavanja  značajno su povećani odnosu na 2024.godinu. U 2025.godini  izvedeni su elektroinstalacijski radovi na objektu, zatim radovi na uređenju prilaza i parkinga Centra, radovi na uređenju prostora škole i dvije pomoćne prostorije te ostala tekuća održavanja na opremi i postrojenjima (izvedeni radovi na održavanju plinskih instalacija, redovni godišnji servis agregata, popravak stubišne platforme i slično).</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Intelektualne i osobne usluge su veće nego prethodne godine za 21,0%, jer su povećani rashodi po ugovorima o djelu (za usluge konzilijarnih liječnika), usluge agencija (FINA- opoziv certifikata  i kripto uređaji)  i ostale intelektualne usluge (usluge popravka odjeće korisnika i troškovi izrade procjene higijensko-epidemioloških rizika Nastavnog zavoda za javno zdravstvo).</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w:t>
            </w:r>
          </w:p>
        </w:tc>
      </w:tr>
    </w:tbl>
    <w:p>
      <w:pPr>
        <w:spacing w:before="0" w:after="0"/>
      </w:pPr>
    </w:p>
    <w:p>
      <w:r>
        <w:t xml:space="preserve">Rashodi reprezentacije su manji nego prethodne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2025.godini nije bilo isplata po sudskim presudama za isplatu razlike plaće radnicima iz 2016.godine pa nije bilo niti naknade plaćenih parničnih troškova.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r>
        <w:t xml:space="preserve">Ostali nespomenuti rashodi manji su nego u 2024.godini kada je bila izvršena nabava tatamija sredstvima donacije i materijala za potrebe radne terapije korisnika.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w:t>
            </w:r>
          </w:p>
        </w:tc>
      </w:tr>
    </w:tbl>
    <w:p>
      <w:pPr>
        <w:spacing w:before="0" w:after="0"/>
      </w:pPr>
    </w:p>
    <w:p>
      <w:r>
        <w:t xml:space="preserve">Zatezne kamate su prethodne godine bile veće zbog obračunatih doprinosa na razliku plaća iz 2016.g. po sudskim presuda i zatezne kamate na parnične troškove.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Obračunati prihodi poslovanja-nenaplaćeni u ukupnom iznosu od 55.378,24 eur obuhvaćaju fakturirane participacije roditeljima, potraživanje po osnovi mirovina korisnika za 12/2025, fakturirane usluge Ministrastvu rada, mirovinskog sustava, obitelji i socijalne politike za 12/2025, potraživanje od Ministarstva za naknadu za osobne potrebe korisnika za 12/2025, potraživanje za najamninu za iznajmljeni prostor, potraživanje za refundaciju režijskih troškova za postavljeni aparat za kavu i potraživanje od HZZO-a za refundaciju prethodnog pregleda radnika.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1.703.908,77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Prethodne godine iskazani su prihodi od prodaje nefinancijske imovine u ukupnom iznosu od 1.703.908,77 eur koji su ostvareni od prodaje dijela zemljišta i zgrade u Jadranovu po raspisanom javnom natječaju za prodaju nekretnina u vlasništvu Centra te od prodaje službenog vozila.</w:t>
      </w:r>
    </w:p>
    <w:p>
      <w:r>
        <w:t xml:space="preserv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384,6</w:t>
            </w:r>
          </w:p>
        </w:tc>
      </w:tr>
    </w:tbl>
    <w:p>
      <w:pPr>
        <w:spacing w:before="0" w:after="0"/>
      </w:pPr>
    </w:p>
    <w:p>
      <w:r>
        <w:t xml:space="preserve">Rashodi za komunikacijsku opremu odnose se na nabavljene televizore za korisnike iz primljenih namjenskih sredstva Općine Kostrena.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w:t>
            </w:r>
          </w:p>
        </w:tc>
      </w:tr>
    </w:tbl>
    <w:p>
      <w:pPr>
        <w:spacing w:before="0" w:after="0"/>
      </w:pPr>
    </w:p>
    <w:p>
      <w:r>
        <w:t xml:space="preserve">Rashodi medicinske i laboratorijske opreme vezani su uz doniranu opremu- prijenosnu kadu i lifter za korisnike.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608,0</w:t>
            </w:r>
          </w:p>
        </w:tc>
      </w:tr>
    </w:tbl>
    <w:p>
      <w:pPr>
        <w:spacing w:before="0" w:after="0"/>
      </w:pPr>
    </w:p>
    <w:p>
      <w:r>
        <w:t xml:space="preserve">Ove godine iz donacije su dobiveni spremnici za kontejnere za otpad, motorna kosilica i perilica posuđa koji su ovdje iskazani.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169.139,55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r>
    </w:tbl>
    <w:p>
      <w:pPr>
        <w:spacing w:before="0" w:after="0"/>
      </w:pPr>
    </w:p>
    <w:p>
      <w:r>
        <w:t xml:space="preserve">Pod šifrom 01-neproizvedena dugotrajna imovina došlo je do smanjenja sadašnje vrijednosti objekta za 0,4% u odnosu na početak godine zbog tekućeg ispravka vrijednosti.</w:t>
      </w:r>
    </w:p>
    <w:p>
      <w:r>
        <w:t xml:space="preserve">Pod šifrom 021 i 02921-građevinski objekti došlo je do smanjenja sadašnje vrijednosti objekta za 2,6% u odnosu na početak godine zbog tekućeg ispravka vrijednosti.</w:t>
      </w:r>
    </w:p>
    <w:p>
      <w:r>
        <w:t xml:space="preserve">S obzirom da je vrijednost nabavljene nove imovine u visini vrijednosti otpisane imovine tokom godine i ispravak vrijednosti, u konačnici se sadašnja vrijednost postrojenja i opreme u odnosu na početak godine nije značajno promijenila što je iskazano pod šifrom 022 i 02922.</w:t>
      </w:r>
    </w:p>
    <w:p>
      <w:r>
        <w:t xml:space="preserve">Pod šifrom 023 i 02923-prijevozna sredstva došlo je do smanjenja sadašnje vrijednosti prijevoznih sredstva u odnosu na početak godine, zbog provedenog ispravka vrijednosti. </w:t>
      </w:r>
    </w:p>
    <w:p>
      <w:r>
        <w:t xml:space="preserve">Vrijednost dugotrajne imovine ispravlja se linearnom metodom, prema propisanim stopama ispravka vrijednosti dugotrajne imovine proračuna i proračunskih korisnika.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1.818.063,75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1.843.598,97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Novčana sredstva na računu kod banke većim dijelom su rezultat prodaje nekretnina izvršene u prethodnoj godini.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172,6</w:t>
            </w:r>
          </w:p>
        </w:tc>
      </w:tr>
    </w:tbl>
    <w:p>
      <w:pPr>
        <w:spacing w:before="0" w:after="0"/>
      </w:pPr>
    </w:p>
    <w:p>
      <w:r>
        <w:t xml:space="preserve">Potraživanja se odnose na: potraživanja od zaposlenih za više isplaćeno bolovanje na teret HZZO-a u iznosu od 0,38 eur, potraživanja više plaćene poreze i doprinose odnosno za isplaćeni povrat poreza zaposlenima i po priznatoj ozljedi na radu u iznosu od 1.248,06 eur te ostala potraživanja u iznosu od 8.919,13 eur (potraživanja od HZZO-a za refundaciju bolovanja, potraživanja za predujmove).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Potraživanja za prihode poslovanja u ukupnom iznosu od 55.378,24 eur obuhvaćaju fakturirane participacije roditeljima, potraživanje po osnovi mirovina korisnika za 12/2025, fakturirane usluge Ministrastvu rada, mirovinskog sustava, obitelji i socijalne politike za 12/2025, potraživanje od Ministarstva za naknadu za osobne potrebe korisnika za 12/2025, potraživanje za najamninu za iznajmljeni prostor, potraživanje za refundaciju režijskih troškova za postavljeni aparat za kavu i potraživanje od HZZO-a za refundaciju prethodnog pregleda radnika.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Unaprijed plaćeni rashodi budućeg razdoblja u iznosu od 235,00 eur odnose se na preplatu na časopis RIF za 2025.godinu.</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93.788,04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87.500,69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w:t>
            </w:r>
          </w:p>
        </w:tc>
      </w:tr>
    </w:tbl>
    <w:p>
      <w:pPr>
        <w:spacing w:before="0" w:after="0"/>
      </w:pPr>
    </w:p>
    <w:p>
      <w:pPr>
        <w:jc w:val="both"/>
      </w:pPr>
      <w:r>
        <w:t xml:space="preserve">Iskazane obveze na dan 31.12.2025. godine manje su nego na početku godine. Obveze se pretežito odnose na obveze prema zaposlenima (za plaću i ostale rashode za zaposlene) koje su manje u odnosu na iste iskazane početkom godine dok obveze za materijalne rashode bilježe porast u odnosu na početak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310,6</w:t>
            </w:r>
          </w:p>
        </w:tc>
      </w:tr>
    </w:tbl>
    <w:p>
      <w:pPr>
        <w:spacing w:before="0" w:after="0"/>
      </w:pPr>
    </w:p>
    <w:p>
      <w:r>
        <w:t xml:space="preserve">Obveze za naknade građanima i kućanstvima u iznosu od 784,33 eur odnose se na obveze po primljenim jednokratnim novčanim naknadama korisnika.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Obveze u iznosu od 366,01 eur odnose se na obveze prema korisnicima za isplatu godišnjeg dodatka na mirovinu.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r>
        <w:t xml:space="preserve">Odgođeno plaćanje rashoda tiče se ukalkuliranog računa za usluge održavanja lifta za mjesec prosinac, a za koje račun nije pristigao do roka određenog za zaprimanje računa koje se odnose na 2025.godinu.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129.337,49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poslovanja u visini 129.337,49 eur nastao je sučeljavanjem ostvarenog viška prihoda poslovanja tekuće godine u iznosu od 53.568,15 eur  (šifra X001) i prenesenog viška prihoda poslovanja u iznosu 94.206,64 eur (šifra 92211) u PR-RAS obrascu te provedenom korekcijom rezultata u visini 18.437,30 eur čime je zadužen račun viška prihoda poslovanja, a odobren račun manjka prihoda od nefinancijske imovine.</w:t>
      </w:r>
    </w:p>
    <w:p>
      <w:r>
        <w:t xml:space="preserve">Korekcija rezultata provedena je za primljene kapitalne donacije (konto 6632) u iznosu od 18.437,30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1.703.908,77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1.609.842,09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r>
        <w:t xml:space="preserve">Višak prihoda od nefinancijske imovine  je ostvaren u visini 1.609.842,09 eur, a nastao je sučeljavanjem ostvarenog manjka prihoda od nefinancijske imovine tekuće godine u iznosu 17.521,76 eur (šifra Y002) i prenesenog viška prihoda od nefinancijske imovine u iznosu od 1.608.926,55 eur što je nakon provedene korekcije rezultata u visini 18.437,30 eur rezultiralo viškom prihoda od nefinancijske imovine.</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w:t>
            </w:r>
          </w:p>
        </w:tc>
      </w:tr>
    </w:tbl>
    <w:p>
      <w:pPr>
        <w:spacing w:before="0" w:after="0"/>
      </w:pPr>
    </w:p>
    <w:p>
      <w:r>
        <w:t xml:space="preserve">Izvanbilančni zapisi odnose se na primljeno jamstvo za otklanjanje nedostataka u jamstvenom roku po ugovorima o izvedenim radovima i primljeno jamstvo za uredno izvršenje ugovora za isporuku lož ulja, a u vidu zadužnice i bjanko zadužnice.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predujmove u iznosu od 3.266,33 EUR odnose se na uplaćene predujmove po ponudama za robu koja nije isporučena i radove koji nisu izvedeni do kraja 2025.godine i čija isporuka će biti u 2026.godini.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Početkom godine bile su iskazane obveze za povrat preplaćene participacije u cijeni smještaja u iznosu od 66,54 eur.</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Iznos od 419,19 eur odnosi se na novčani polog primljen kao jamstvo za uredno ispunjenje ugovora za usluge osiguranja.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Invaliditet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1.139.371,25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1.269.679,10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Ukupni ostvareni rashodi Centra u iznosu od 1.269.679,10 eur koji uključuje rashode poslovanja i rashode za nabavu nefinancijske imovine prema funkcijskoj klasifikaciji svrstani su u socijalnu zaštitu, u podskupinu invaliditet.</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01.01.-31.12.2025.godine promjene u vrijednosti imovine u smislu smanjenja u iznosu od 31.766,58 eur vezane su za knjiženje ispravka vrijednosti dugotrajne nefinancijske imovine preko skupine 915 prema odredbama novog Pravilnika o proračunskom računovodstvu i računskom planu te isknjiženje neupotrebljive imovine sa preostalom sadašnjom vrijednosti.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Promjena u obujmu imovine u smislu povećanja nastala je zbog evidentiranja inventurnih viškova prilikom popisa dugotrajne imovine i primljene donacije sitnog inventara.</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iznose 1.196,08 eur, a odnose se na obveze prema zaposlenima u iznosu od 829,69 eur i obveze po primljenim računima u iznosu od 366,39 eur.</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nedospjele obveze u iznosu od 85.913,78 eur odnose se na obveze za rashode poslovanja od čega pretežito na obveze za zaposlene (za plaću za 12/2025), obveze za materijalne rashode (za naknadu za prijevoz zaposlenima, po primljenim računima za robu i usluge, obveze po ugovoru o poslovnoj suradnji sa konzilijarnim liječnikom i obveze za isplatu naknade Upravnom vijeću) zatim obveze za financijske rashode (po računu za naknadu za bankarske usluge), obveze za naknade građanima i kućanstvima (primljene jednokratne novčane naknade korisnika) te ostale tekuće obveze (za isplatu godišnjeg dodatka na mirovinu korisnicima).</w:t>
      </w:r>
    </w:p>
    <w:p>
      <w:r>
        <w:t xml:space="preserve">Također, ovdje su iskazane obveze za nabavu proizvedene dugotrajne imovine koje se odnose na obveze po računu za nabavljeni namještaj te obveze za depozite i jamčevne pologe (novčani polog kao jamstvo za uredno ispunjenje ugovora).</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31e426ae60d4b7c" /></Relationships>
</file>